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 &lt;/p&gt;
&lt;p&gt;Neni 6, Paragrafi 4.1 dhe 4.2&lt;/p&gt;
&lt;p&gt;Komisionet përkatëse si në pikën 4.1 dhe 4.2 të këtij neni duhet të deklarojne konfliktin e interesit gjatë procesit të rekrutimit dhe shqyrtimit të ankesave, apo deklarimin rast për rast të interesave, varësisht situatatave që mund të paraqiten përgjatë këtyre proceseve. &lt;/p&gt;
&lt;p&gt; 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2026-04-28T15:28:52+02:00</dcterms:created>
  <dcterms:modified xsi:type="dcterms:W3CDTF">2026-04-28T15:28:52+02:00</dcterms:modified>
  <dc:title/>
  <dc:description/>
  <dc:subject/>
  <cp:keywords/>
  <cp:category/>
</cp:coreProperties>
</file>